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7D417" w14:textId="77777777" w:rsidR="00DA02E8" w:rsidRDefault="00DA02E8">
      <w:pPr>
        <w:rPr>
          <w:rFonts w:eastAsia="宋体" w:cs="宋体" w:hint="eastAsia"/>
          <w:szCs w:val="32"/>
        </w:rPr>
      </w:pPr>
    </w:p>
    <w:p w14:paraId="641028F9" w14:textId="77777777" w:rsidR="00DA02E8" w:rsidRPr="00EA17EB" w:rsidRDefault="005B4BDA" w:rsidP="00EA17EB">
      <w:pPr>
        <w:widowControl/>
        <w:spacing w:line="600" w:lineRule="exact"/>
        <w:jc w:val="center"/>
        <w:rPr>
          <w:rFonts w:ascii="微软雅黑" w:eastAsia="微软雅黑" w:hAnsi="微软雅黑" w:cs="CESI小标宋-GB18030"/>
          <w:b/>
          <w:bCs/>
          <w:color w:val="7030A0"/>
          <w:sz w:val="40"/>
          <w:szCs w:val="40"/>
          <w:shd w:val="clear" w:color="auto" w:fill="FFFFFF"/>
        </w:rPr>
      </w:pPr>
      <w:bookmarkStart w:id="0" w:name="最高人民法院关于在粤港澳大湾区内地登记设立的香港、澳门投资企业协议选择港澳法律为"/>
      <w:bookmarkEnd w:id="0"/>
      <w:r w:rsidRPr="00EA17EB">
        <w:rPr>
          <w:rFonts w:ascii="微软雅黑" w:eastAsia="微软雅黑" w:hAnsi="微软雅黑" w:cs="方正小标宋简体" w:hint="eastAsia"/>
          <w:b/>
          <w:bCs/>
          <w:color w:val="7030A0"/>
          <w:sz w:val="40"/>
          <w:szCs w:val="40"/>
          <w:shd w:val="clear" w:color="auto" w:fill="FFFFFF"/>
        </w:rPr>
        <w:t>最高人民法院</w:t>
      </w:r>
      <w:r w:rsidRPr="00EA17EB">
        <w:rPr>
          <w:rFonts w:ascii="微软雅黑" w:eastAsia="微软雅黑" w:hAnsi="微软雅黑" w:cs="方正小标宋简体" w:hint="eastAsia"/>
          <w:b/>
          <w:bCs/>
          <w:color w:val="7030A0"/>
          <w:sz w:val="40"/>
          <w:szCs w:val="40"/>
          <w:shd w:val="clear" w:color="auto" w:fill="FFFFFF"/>
        </w:rPr>
        <w:br/>
      </w:r>
      <w:r w:rsidRPr="00EA17EB">
        <w:rPr>
          <w:rFonts w:ascii="微软雅黑" w:eastAsia="微软雅黑" w:hAnsi="微软雅黑" w:cs="方正小标宋简体" w:hint="eastAsia"/>
          <w:b/>
          <w:bCs/>
          <w:color w:val="7030A0"/>
          <w:sz w:val="40"/>
          <w:szCs w:val="40"/>
          <w:shd w:val="clear" w:color="auto" w:fill="FFFFFF"/>
        </w:rPr>
        <w:t>关于在粤港澳大湾区内地登记设立的</w:t>
      </w:r>
      <w:r w:rsidRPr="00EA17EB">
        <w:rPr>
          <w:rFonts w:ascii="微软雅黑" w:eastAsia="微软雅黑" w:hAnsi="微软雅黑" w:cs="方正小标宋简体" w:hint="eastAsia"/>
          <w:b/>
          <w:bCs/>
          <w:color w:val="7030A0"/>
          <w:sz w:val="40"/>
          <w:szCs w:val="40"/>
          <w:shd w:val="clear" w:color="auto" w:fill="FFFFFF"/>
        </w:rPr>
        <w:br/>
      </w:r>
      <w:r w:rsidRPr="00EA17EB">
        <w:rPr>
          <w:rFonts w:ascii="微软雅黑" w:eastAsia="微软雅黑" w:hAnsi="微软雅黑" w:cs="方正小标宋简体" w:hint="eastAsia"/>
          <w:b/>
          <w:bCs/>
          <w:color w:val="7030A0"/>
          <w:sz w:val="40"/>
          <w:szCs w:val="40"/>
          <w:shd w:val="clear" w:color="auto" w:fill="FFFFFF"/>
        </w:rPr>
        <w:t>香港、澳门投资企业协议选择港澳法律</w:t>
      </w:r>
      <w:r w:rsidRPr="00EA17EB">
        <w:rPr>
          <w:rFonts w:ascii="微软雅黑" w:eastAsia="微软雅黑" w:hAnsi="微软雅黑" w:cs="方正小标宋简体" w:hint="eastAsia"/>
          <w:b/>
          <w:bCs/>
          <w:color w:val="7030A0"/>
          <w:sz w:val="40"/>
          <w:szCs w:val="40"/>
          <w:shd w:val="clear" w:color="auto" w:fill="FFFFFF"/>
        </w:rPr>
        <w:br/>
      </w:r>
      <w:r w:rsidRPr="00EA17EB">
        <w:rPr>
          <w:rFonts w:ascii="微软雅黑" w:eastAsia="微软雅黑" w:hAnsi="微软雅黑" w:cs="方正小标宋简体" w:hint="eastAsia"/>
          <w:b/>
          <w:bCs/>
          <w:color w:val="7030A0"/>
          <w:sz w:val="40"/>
          <w:szCs w:val="40"/>
          <w:shd w:val="clear" w:color="auto" w:fill="FFFFFF"/>
        </w:rPr>
        <w:t>为合同适用法律或者协议约定港澳</w:t>
      </w:r>
      <w:r w:rsidRPr="00EA17EB">
        <w:rPr>
          <w:rFonts w:ascii="微软雅黑" w:eastAsia="微软雅黑" w:hAnsi="微软雅黑" w:cs="方正小标宋简体" w:hint="eastAsia"/>
          <w:b/>
          <w:bCs/>
          <w:color w:val="7030A0"/>
          <w:sz w:val="40"/>
          <w:szCs w:val="40"/>
          <w:shd w:val="clear" w:color="auto" w:fill="FFFFFF"/>
        </w:rPr>
        <w:br/>
      </w:r>
      <w:r w:rsidRPr="00EA17EB">
        <w:rPr>
          <w:rFonts w:ascii="微软雅黑" w:eastAsia="微软雅黑" w:hAnsi="微软雅黑" w:cs="方正小标宋简体" w:hint="eastAsia"/>
          <w:b/>
          <w:bCs/>
          <w:color w:val="7030A0"/>
          <w:sz w:val="40"/>
          <w:szCs w:val="40"/>
          <w:shd w:val="clear" w:color="auto" w:fill="FFFFFF"/>
        </w:rPr>
        <w:t>为仲裁地效力问题的批复</w:t>
      </w:r>
    </w:p>
    <w:p w14:paraId="1328F327" w14:textId="00CA560D" w:rsidR="00DA02E8" w:rsidRDefault="00DA02E8" w:rsidP="00EA17EB">
      <w:pPr>
        <w:spacing w:line="240" w:lineRule="exact"/>
        <w:rPr>
          <w:rFonts w:ascii="微软雅黑" w:eastAsia="微软雅黑" w:hAnsi="微软雅黑" w:cs="宋体"/>
          <w:sz w:val="22"/>
          <w:szCs w:val="22"/>
        </w:rPr>
      </w:pPr>
    </w:p>
    <w:p w14:paraId="6D53E924" w14:textId="673A6B37" w:rsidR="00EA17EB" w:rsidRDefault="00EA17EB" w:rsidP="00EA17E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025-02-14</w:t>
      </w:r>
    </w:p>
    <w:p w14:paraId="4B60B83D" w14:textId="77777777" w:rsidR="00EA17EB" w:rsidRPr="00EA17EB" w:rsidRDefault="00EA17EB" w:rsidP="00EA17EB">
      <w:pPr>
        <w:spacing w:line="240" w:lineRule="exact"/>
        <w:rPr>
          <w:rFonts w:ascii="微软雅黑" w:eastAsia="微软雅黑" w:hAnsi="微软雅黑" w:cs="宋体" w:hint="eastAsia"/>
          <w:sz w:val="22"/>
          <w:szCs w:val="22"/>
        </w:rPr>
      </w:pPr>
    </w:p>
    <w:p w14:paraId="39373B1D" w14:textId="77777777" w:rsidR="00DA02E8" w:rsidRPr="00EA17EB" w:rsidRDefault="005B4BDA" w:rsidP="00EA17EB">
      <w:pPr>
        <w:spacing w:line="240" w:lineRule="exact"/>
        <w:jc w:val="center"/>
        <w:rPr>
          <w:rFonts w:ascii="微软雅黑" w:eastAsia="微软雅黑" w:hAnsi="微软雅黑" w:cs="仿宋_GB2312"/>
          <w:sz w:val="22"/>
          <w:szCs w:val="22"/>
        </w:rPr>
      </w:pPr>
      <w:bookmarkStart w:id="1" w:name="文号"/>
      <w:bookmarkEnd w:id="1"/>
      <w:r w:rsidRPr="00EA17EB">
        <w:rPr>
          <w:rFonts w:ascii="微软雅黑" w:eastAsia="微软雅黑" w:hAnsi="微软雅黑" w:cs="仿宋_GB2312" w:hint="eastAsia"/>
          <w:sz w:val="22"/>
          <w:szCs w:val="22"/>
        </w:rPr>
        <w:t>法释〔</w:t>
      </w:r>
      <w:r w:rsidRPr="00EA17EB">
        <w:rPr>
          <w:rFonts w:ascii="微软雅黑" w:eastAsia="微软雅黑" w:hAnsi="微软雅黑" w:cs="仿宋_GB2312" w:hint="eastAsia"/>
          <w:sz w:val="22"/>
          <w:szCs w:val="22"/>
        </w:rPr>
        <w:t>2025</w:t>
      </w:r>
      <w:r w:rsidRPr="00EA17EB">
        <w:rPr>
          <w:rFonts w:ascii="微软雅黑" w:eastAsia="微软雅黑" w:hAnsi="微软雅黑" w:cs="仿宋_GB2312" w:hint="eastAsia"/>
          <w:sz w:val="22"/>
          <w:szCs w:val="22"/>
        </w:rPr>
        <w:t>〕</w:t>
      </w:r>
      <w:r w:rsidRPr="00EA17EB">
        <w:rPr>
          <w:rFonts w:ascii="微软雅黑" w:eastAsia="微软雅黑" w:hAnsi="微软雅黑" w:cs="仿宋_GB2312" w:hint="eastAsia"/>
          <w:sz w:val="22"/>
          <w:szCs w:val="22"/>
        </w:rPr>
        <w:t>3</w:t>
      </w:r>
      <w:r w:rsidRPr="00EA17EB">
        <w:rPr>
          <w:rFonts w:ascii="微软雅黑" w:eastAsia="微软雅黑" w:hAnsi="微软雅黑" w:cs="仿宋_GB2312" w:hint="eastAsia"/>
          <w:sz w:val="22"/>
          <w:szCs w:val="22"/>
        </w:rPr>
        <w:t>号</w:t>
      </w:r>
    </w:p>
    <w:p w14:paraId="1A884E9E" w14:textId="77777777" w:rsidR="00DA02E8" w:rsidRPr="00EA17EB" w:rsidRDefault="00DA02E8" w:rsidP="00EA17EB">
      <w:pPr>
        <w:spacing w:line="240" w:lineRule="exact"/>
        <w:rPr>
          <w:rFonts w:ascii="微软雅黑" w:eastAsia="微软雅黑" w:hAnsi="微软雅黑" w:cs="宋体"/>
          <w:sz w:val="22"/>
          <w:szCs w:val="22"/>
        </w:rPr>
      </w:pPr>
    </w:p>
    <w:p w14:paraId="07D4C064" w14:textId="77777777" w:rsidR="00DA02E8" w:rsidRPr="00EA17EB" w:rsidRDefault="005B4BDA" w:rsidP="00EA17EB">
      <w:pPr>
        <w:widowControl/>
        <w:spacing w:line="240" w:lineRule="exact"/>
        <w:ind w:leftChars="200" w:left="632" w:rightChars="200" w:right="632"/>
        <w:jc w:val="center"/>
        <w:rPr>
          <w:rFonts w:ascii="微软雅黑" w:eastAsia="微软雅黑" w:hAnsi="微软雅黑" w:cs="楷体_GB2312"/>
          <w:bCs/>
          <w:spacing w:val="6"/>
          <w:sz w:val="21"/>
          <w:szCs w:val="21"/>
          <w:shd w:val="clear" w:color="auto" w:fill="FFFFFF"/>
        </w:rPr>
      </w:pPr>
      <w:bookmarkStart w:id="2" w:name="题注"/>
      <w:bookmarkEnd w:id="2"/>
      <w:r w:rsidRPr="00EA17EB">
        <w:rPr>
          <w:rFonts w:ascii="微软雅黑" w:eastAsia="微软雅黑" w:hAnsi="微软雅黑" w:cs="楷体_GB2312" w:hint="eastAsia"/>
          <w:bCs/>
          <w:sz w:val="21"/>
          <w:szCs w:val="21"/>
          <w:shd w:val="clear" w:color="auto" w:fill="FFFFFF"/>
        </w:rPr>
        <w:t>（</w:t>
      </w:r>
      <w:r w:rsidRPr="00EA17EB">
        <w:rPr>
          <w:rFonts w:ascii="微软雅黑" w:eastAsia="微软雅黑" w:hAnsi="微软雅黑" w:cs="楷体_GB2312" w:hint="eastAsia"/>
          <w:bCs/>
          <w:sz w:val="21"/>
          <w:szCs w:val="21"/>
          <w:shd w:val="clear" w:color="auto" w:fill="FFFFFF"/>
        </w:rPr>
        <w:t>2024</w:t>
      </w:r>
      <w:r w:rsidRPr="00EA17EB">
        <w:rPr>
          <w:rFonts w:ascii="微软雅黑" w:eastAsia="微软雅黑" w:hAnsi="微软雅黑" w:cs="楷体_GB2312" w:hint="eastAsia"/>
          <w:bCs/>
          <w:sz w:val="21"/>
          <w:szCs w:val="21"/>
          <w:shd w:val="clear" w:color="auto" w:fill="FFFFFF"/>
        </w:rPr>
        <w:t>年</w:t>
      </w:r>
      <w:r w:rsidRPr="00EA17EB">
        <w:rPr>
          <w:rFonts w:ascii="微软雅黑" w:eastAsia="微软雅黑" w:hAnsi="微软雅黑" w:cs="楷体_GB2312" w:hint="eastAsia"/>
          <w:bCs/>
          <w:sz w:val="21"/>
          <w:szCs w:val="21"/>
          <w:shd w:val="clear" w:color="auto" w:fill="FFFFFF"/>
        </w:rPr>
        <w:t>10</w:t>
      </w:r>
      <w:r w:rsidRPr="00EA17EB">
        <w:rPr>
          <w:rFonts w:ascii="微软雅黑" w:eastAsia="微软雅黑" w:hAnsi="微软雅黑" w:cs="楷体_GB2312" w:hint="eastAsia"/>
          <w:bCs/>
          <w:sz w:val="21"/>
          <w:szCs w:val="21"/>
          <w:shd w:val="clear" w:color="auto" w:fill="FFFFFF"/>
        </w:rPr>
        <w:t>月</w:t>
      </w:r>
      <w:r w:rsidRPr="00EA17EB">
        <w:rPr>
          <w:rFonts w:ascii="微软雅黑" w:eastAsia="微软雅黑" w:hAnsi="微软雅黑" w:cs="楷体_GB2312" w:hint="eastAsia"/>
          <w:bCs/>
          <w:sz w:val="21"/>
          <w:szCs w:val="21"/>
          <w:shd w:val="clear" w:color="auto" w:fill="FFFFFF"/>
        </w:rPr>
        <w:t>22</w:t>
      </w:r>
      <w:r w:rsidRPr="00EA17EB">
        <w:rPr>
          <w:rFonts w:ascii="微软雅黑" w:eastAsia="微软雅黑" w:hAnsi="微软雅黑" w:cs="楷体_GB2312" w:hint="eastAsia"/>
          <w:bCs/>
          <w:sz w:val="21"/>
          <w:szCs w:val="21"/>
          <w:shd w:val="clear" w:color="auto" w:fill="FFFFFF"/>
        </w:rPr>
        <w:t>日最高人民法院审判委员会第</w:t>
      </w:r>
      <w:r w:rsidRPr="00EA17EB">
        <w:rPr>
          <w:rFonts w:ascii="微软雅黑" w:eastAsia="微软雅黑" w:hAnsi="微软雅黑" w:cs="楷体_GB2312" w:hint="eastAsia"/>
          <w:bCs/>
          <w:sz w:val="21"/>
          <w:szCs w:val="21"/>
          <w:shd w:val="clear" w:color="auto" w:fill="FFFFFF"/>
        </w:rPr>
        <w:t>1927</w:t>
      </w:r>
      <w:r w:rsidRPr="00EA17EB">
        <w:rPr>
          <w:rFonts w:ascii="微软雅黑" w:eastAsia="微软雅黑" w:hAnsi="微软雅黑" w:cs="楷体_GB2312" w:hint="eastAsia"/>
          <w:bCs/>
          <w:sz w:val="21"/>
          <w:szCs w:val="21"/>
          <w:shd w:val="clear" w:color="auto" w:fill="FFFFFF"/>
        </w:rPr>
        <w:t>次会议通过，自</w:t>
      </w:r>
      <w:r w:rsidRPr="00EA17EB">
        <w:rPr>
          <w:rFonts w:ascii="微软雅黑" w:eastAsia="微软雅黑" w:hAnsi="微软雅黑" w:cs="楷体_GB2312" w:hint="eastAsia"/>
          <w:bCs/>
          <w:sz w:val="21"/>
          <w:szCs w:val="21"/>
          <w:shd w:val="clear" w:color="auto" w:fill="FFFFFF"/>
        </w:rPr>
        <w:t>2025</w:t>
      </w:r>
      <w:r w:rsidRPr="00EA17EB">
        <w:rPr>
          <w:rFonts w:ascii="微软雅黑" w:eastAsia="微软雅黑" w:hAnsi="微软雅黑" w:cs="楷体_GB2312" w:hint="eastAsia"/>
          <w:bCs/>
          <w:sz w:val="21"/>
          <w:szCs w:val="21"/>
          <w:shd w:val="clear" w:color="auto" w:fill="FFFFFF"/>
        </w:rPr>
        <w:t>年</w:t>
      </w:r>
      <w:r w:rsidRPr="00EA17EB">
        <w:rPr>
          <w:rFonts w:ascii="微软雅黑" w:eastAsia="微软雅黑" w:hAnsi="微软雅黑" w:cs="楷体_GB2312" w:hint="eastAsia"/>
          <w:bCs/>
          <w:sz w:val="21"/>
          <w:szCs w:val="21"/>
          <w:shd w:val="clear" w:color="auto" w:fill="FFFFFF"/>
        </w:rPr>
        <w:t>2</w:t>
      </w:r>
      <w:r w:rsidRPr="00EA17EB">
        <w:rPr>
          <w:rFonts w:ascii="微软雅黑" w:eastAsia="微软雅黑" w:hAnsi="微软雅黑" w:cs="楷体_GB2312" w:hint="eastAsia"/>
          <w:bCs/>
          <w:sz w:val="21"/>
          <w:szCs w:val="21"/>
          <w:shd w:val="clear" w:color="auto" w:fill="FFFFFF"/>
        </w:rPr>
        <w:t>月</w:t>
      </w:r>
      <w:r w:rsidRPr="00EA17EB">
        <w:rPr>
          <w:rFonts w:ascii="微软雅黑" w:eastAsia="微软雅黑" w:hAnsi="微软雅黑" w:cs="楷体_GB2312" w:hint="eastAsia"/>
          <w:bCs/>
          <w:sz w:val="21"/>
          <w:szCs w:val="21"/>
          <w:shd w:val="clear" w:color="auto" w:fill="FFFFFF"/>
        </w:rPr>
        <w:t>14</w:t>
      </w:r>
      <w:r w:rsidRPr="00EA17EB">
        <w:rPr>
          <w:rFonts w:ascii="微软雅黑" w:eastAsia="微软雅黑" w:hAnsi="微软雅黑" w:cs="楷体_GB2312" w:hint="eastAsia"/>
          <w:bCs/>
          <w:sz w:val="21"/>
          <w:szCs w:val="21"/>
          <w:shd w:val="clear" w:color="auto" w:fill="FFFFFF"/>
        </w:rPr>
        <w:t>日起施行）</w:t>
      </w:r>
    </w:p>
    <w:p w14:paraId="1C0597AC" w14:textId="77777777" w:rsidR="00DA02E8" w:rsidRPr="00EA17EB" w:rsidRDefault="00DA02E8" w:rsidP="00EA17EB">
      <w:pPr>
        <w:spacing w:line="240" w:lineRule="exact"/>
        <w:rPr>
          <w:rFonts w:ascii="微软雅黑" w:eastAsia="微软雅黑" w:hAnsi="微软雅黑" w:cs="宋体"/>
          <w:sz w:val="22"/>
          <w:szCs w:val="22"/>
        </w:rPr>
      </w:pPr>
    </w:p>
    <w:p w14:paraId="5FE8966D" w14:textId="77777777" w:rsidR="00DA02E8" w:rsidRPr="00EA17EB" w:rsidRDefault="005B4BDA" w:rsidP="00EA17EB">
      <w:pPr>
        <w:spacing w:line="560" w:lineRule="exact"/>
        <w:rPr>
          <w:rFonts w:ascii="微软雅黑" w:eastAsia="微软雅黑" w:hAnsi="微软雅黑" w:cs="仿宋_GB2312"/>
          <w:sz w:val="28"/>
          <w:szCs w:val="28"/>
        </w:rPr>
      </w:pPr>
      <w:bookmarkStart w:id="3" w:name="抬头"/>
      <w:bookmarkEnd w:id="3"/>
      <w:r w:rsidRPr="00EA17EB">
        <w:rPr>
          <w:rFonts w:ascii="微软雅黑" w:eastAsia="微软雅黑" w:hAnsi="微软雅黑" w:cs="仿宋_GB2312" w:hint="eastAsia"/>
          <w:b/>
          <w:bCs/>
          <w:sz w:val="28"/>
          <w:szCs w:val="28"/>
        </w:rPr>
        <w:t>广东省高级人民法院</w:t>
      </w:r>
      <w:r w:rsidRPr="00EA17EB">
        <w:rPr>
          <w:rFonts w:ascii="微软雅黑" w:eastAsia="微软雅黑" w:hAnsi="微软雅黑" w:cs="仿宋_GB2312" w:hint="eastAsia"/>
          <w:sz w:val="28"/>
          <w:szCs w:val="28"/>
        </w:rPr>
        <w:t>：</w:t>
      </w:r>
    </w:p>
    <w:p w14:paraId="3D792DA8" w14:textId="77777777" w:rsidR="00DA02E8" w:rsidRPr="00EA17EB" w:rsidRDefault="005B4BDA" w:rsidP="00EA17EB">
      <w:pPr>
        <w:spacing w:line="560" w:lineRule="exact"/>
        <w:ind w:firstLineChars="200" w:firstLine="552"/>
        <w:rPr>
          <w:rFonts w:ascii="微软雅黑" w:eastAsia="微软雅黑" w:hAnsi="微软雅黑" w:cs="仿宋_GB2312"/>
          <w:sz w:val="28"/>
          <w:szCs w:val="28"/>
        </w:rPr>
      </w:pPr>
      <w:r w:rsidRPr="00EA17EB">
        <w:rPr>
          <w:rFonts w:ascii="微软雅黑" w:eastAsia="微软雅黑" w:hAnsi="微软雅黑" w:cs="仿宋_GB2312" w:hint="eastAsia"/>
          <w:sz w:val="28"/>
          <w:szCs w:val="28"/>
        </w:rPr>
        <w:t>你院《关于一方或者双方当事人为在粤港澳大湾区内地注册成立的港澳独资、合资企业选择适用港澳法律或者港澳仲裁协议效力问题的请示》（粤高法〔</w:t>
      </w:r>
      <w:r w:rsidRPr="00EA17EB">
        <w:rPr>
          <w:rFonts w:ascii="微软雅黑" w:eastAsia="微软雅黑" w:hAnsi="微软雅黑" w:cs="仿宋_GB2312" w:hint="eastAsia"/>
          <w:sz w:val="28"/>
          <w:szCs w:val="28"/>
        </w:rPr>
        <w:t>2023</w:t>
      </w:r>
      <w:r w:rsidRPr="00EA17EB">
        <w:rPr>
          <w:rFonts w:ascii="微软雅黑" w:eastAsia="微软雅黑" w:hAnsi="微软雅黑" w:cs="仿宋_GB2312" w:hint="eastAsia"/>
          <w:sz w:val="28"/>
          <w:szCs w:val="28"/>
        </w:rPr>
        <w:t>〕</w:t>
      </w:r>
      <w:r w:rsidRPr="00EA17EB">
        <w:rPr>
          <w:rFonts w:ascii="微软雅黑" w:eastAsia="微软雅黑" w:hAnsi="微软雅黑" w:cs="仿宋_GB2312" w:hint="eastAsia"/>
          <w:sz w:val="28"/>
          <w:szCs w:val="28"/>
        </w:rPr>
        <w:t>53</w:t>
      </w:r>
      <w:r w:rsidRPr="00EA17EB">
        <w:rPr>
          <w:rFonts w:ascii="微软雅黑" w:eastAsia="微软雅黑" w:hAnsi="微软雅黑" w:cs="仿宋_GB2312" w:hint="eastAsia"/>
          <w:sz w:val="28"/>
          <w:szCs w:val="28"/>
        </w:rPr>
        <w:t>号）收悉。经研究，批复如下：</w:t>
      </w:r>
    </w:p>
    <w:p w14:paraId="29C913AD" w14:textId="77777777" w:rsidR="00DA02E8" w:rsidRPr="00EA17EB" w:rsidRDefault="005B4BDA" w:rsidP="00EA17EB">
      <w:pPr>
        <w:spacing w:line="560" w:lineRule="exact"/>
        <w:ind w:firstLineChars="200" w:firstLine="552"/>
        <w:rPr>
          <w:rFonts w:ascii="微软雅黑" w:eastAsia="微软雅黑" w:hAnsi="微软雅黑" w:cs="仿宋_GB2312"/>
          <w:sz w:val="28"/>
          <w:szCs w:val="28"/>
        </w:rPr>
      </w:pPr>
      <w:bookmarkStart w:id="4" w:name="一、"/>
      <w:bookmarkEnd w:id="4"/>
      <w:r w:rsidRPr="00EA17EB">
        <w:rPr>
          <w:rFonts w:ascii="微软雅黑" w:eastAsia="微软雅黑" w:hAnsi="微软雅黑" w:cs="黑体" w:hint="eastAsia"/>
          <w:sz w:val="28"/>
          <w:szCs w:val="28"/>
        </w:rPr>
        <w:t>一、</w:t>
      </w:r>
      <w:r w:rsidRPr="00EA17EB">
        <w:rPr>
          <w:rFonts w:ascii="微软雅黑" w:eastAsia="微软雅黑" w:hAnsi="微软雅黑" w:cs="仿宋_GB2312" w:hint="eastAsia"/>
          <w:sz w:val="28"/>
          <w:szCs w:val="28"/>
        </w:rPr>
        <w:t>当事人一方或者双方为在粤港澳大湾区深圳市、珠海市登记设立的香港、澳门投资企业，协议选择香港特别行政区法律、澳门特别行政区法律为合同适用的法律，并在诉讼中主张适用该法律，人民法院经审查认为不违反国家法律强制性规定且不损害社会公共利益的，应当予以支持。</w:t>
      </w:r>
    </w:p>
    <w:p w14:paraId="55E8D1EF" w14:textId="77777777" w:rsidR="00DA02E8" w:rsidRPr="00EA17EB" w:rsidRDefault="005B4BDA" w:rsidP="00EA17EB">
      <w:pPr>
        <w:spacing w:line="560" w:lineRule="exact"/>
        <w:ind w:firstLineChars="200" w:firstLine="552"/>
        <w:rPr>
          <w:rFonts w:ascii="微软雅黑" w:eastAsia="微软雅黑" w:hAnsi="微软雅黑" w:cs="仿宋_GB2312"/>
          <w:sz w:val="28"/>
          <w:szCs w:val="28"/>
        </w:rPr>
      </w:pPr>
      <w:bookmarkStart w:id="5" w:name="二、"/>
      <w:bookmarkEnd w:id="5"/>
      <w:r w:rsidRPr="00EA17EB">
        <w:rPr>
          <w:rFonts w:ascii="微软雅黑" w:eastAsia="微软雅黑" w:hAnsi="微软雅黑" w:cs="黑体" w:hint="eastAsia"/>
          <w:sz w:val="28"/>
          <w:szCs w:val="28"/>
        </w:rPr>
        <w:t>二、</w:t>
      </w:r>
      <w:r w:rsidRPr="00EA17EB">
        <w:rPr>
          <w:rFonts w:ascii="微软雅黑" w:eastAsia="微软雅黑" w:hAnsi="微软雅黑" w:cs="仿宋_GB2312" w:hint="eastAsia"/>
          <w:sz w:val="28"/>
          <w:szCs w:val="28"/>
        </w:rPr>
        <w:t>当事人一方或者双方为在粤港澳大湾区</w:t>
      </w:r>
      <w:proofErr w:type="gramStart"/>
      <w:r w:rsidRPr="00EA17EB">
        <w:rPr>
          <w:rFonts w:ascii="微软雅黑" w:eastAsia="微软雅黑" w:hAnsi="微软雅黑" w:cs="仿宋_GB2312" w:hint="eastAsia"/>
          <w:sz w:val="28"/>
          <w:szCs w:val="28"/>
        </w:rPr>
        <w:t>内地九</w:t>
      </w:r>
      <w:proofErr w:type="gramEnd"/>
      <w:r w:rsidRPr="00EA17EB">
        <w:rPr>
          <w:rFonts w:ascii="微软雅黑" w:eastAsia="微软雅黑" w:hAnsi="微软雅黑" w:cs="仿宋_GB2312" w:hint="eastAsia"/>
          <w:sz w:val="28"/>
          <w:szCs w:val="28"/>
        </w:rPr>
        <w:t>市登记设立的香港、澳门投资企业，协议</w:t>
      </w:r>
      <w:r w:rsidRPr="00EA17EB">
        <w:rPr>
          <w:rFonts w:ascii="微软雅黑" w:eastAsia="微软雅黑" w:hAnsi="微软雅黑" w:cs="仿宋_GB2312" w:hint="eastAsia"/>
          <w:sz w:val="28"/>
          <w:szCs w:val="28"/>
        </w:rPr>
        <w:t>约定以香港特别行政区、澳门特别行政区为仲裁地，当事人以所涉争议不具有涉港澳因素为由申请人民法院确认仲裁协议无效的，人民法院不予支持。</w:t>
      </w:r>
    </w:p>
    <w:p w14:paraId="6A63B256" w14:textId="77777777" w:rsidR="00DA02E8" w:rsidRPr="00EA17EB" w:rsidRDefault="005B4BDA" w:rsidP="00EA17EB">
      <w:pPr>
        <w:spacing w:line="560" w:lineRule="exact"/>
        <w:ind w:firstLineChars="200" w:firstLine="552"/>
        <w:rPr>
          <w:rFonts w:ascii="微软雅黑" w:eastAsia="微软雅黑" w:hAnsi="微软雅黑" w:cs="仿宋_GB2312"/>
          <w:sz w:val="28"/>
          <w:szCs w:val="28"/>
        </w:rPr>
      </w:pPr>
      <w:r w:rsidRPr="00EA17EB">
        <w:rPr>
          <w:rFonts w:ascii="微软雅黑" w:eastAsia="微软雅黑" w:hAnsi="微软雅黑" w:cs="仿宋_GB2312" w:hint="eastAsia"/>
          <w:sz w:val="28"/>
          <w:szCs w:val="28"/>
        </w:rPr>
        <w:t>当事人将争议按照约定提交仲裁，在相关裁决</w:t>
      </w:r>
      <w:proofErr w:type="gramStart"/>
      <w:r w:rsidRPr="00EA17EB">
        <w:rPr>
          <w:rFonts w:ascii="微软雅黑" w:eastAsia="微软雅黑" w:hAnsi="微软雅黑" w:cs="仿宋_GB2312" w:hint="eastAsia"/>
          <w:sz w:val="28"/>
          <w:szCs w:val="28"/>
        </w:rPr>
        <w:t>作出</w:t>
      </w:r>
      <w:proofErr w:type="gramEnd"/>
      <w:r w:rsidRPr="00EA17EB">
        <w:rPr>
          <w:rFonts w:ascii="微软雅黑" w:eastAsia="微软雅黑" w:hAnsi="微软雅黑" w:cs="仿宋_GB2312" w:hint="eastAsia"/>
          <w:sz w:val="28"/>
          <w:szCs w:val="28"/>
        </w:rPr>
        <w:t>后，一方当事人以所涉争议不具有涉港澳因素、仲裁协议无效，主张不应认可执行仲裁裁决的，人民法院不予支持。</w:t>
      </w:r>
    </w:p>
    <w:p w14:paraId="05A38B6A" w14:textId="77777777" w:rsidR="00DA02E8" w:rsidRPr="00EA17EB" w:rsidRDefault="005B4BDA" w:rsidP="00EA17EB">
      <w:pPr>
        <w:spacing w:line="560" w:lineRule="exact"/>
        <w:ind w:firstLineChars="200" w:firstLine="552"/>
        <w:rPr>
          <w:rFonts w:ascii="微软雅黑" w:eastAsia="微软雅黑" w:hAnsi="微软雅黑" w:cs="仿宋_GB2312"/>
          <w:sz w:val="28"/>
          <w:szCs w:val="28"/>
        </w:rPr>
      </w:pPr>
      <w:bookmarkStart w:id="6" w:name="三、"/>
      <w:bookmarkEnd w:id="6"/>
      <w:r w:rsidRPr="00EA17EB">
        <w:rPr>
          <w:rFonts w:ascii="微软雅黑" w:eastAsia="微软雅黑" w:hAnsi="微软雅黑" w:cs="黑体" w:hint="eastAsia"/>
          <w:sz w:val="28"/>
          <w:szCs w:val="28"/>
        </w:rPr>
        <w:t>三、</w:t>
      </w:r>
      <w:r w:rsidRPr="00EA17EB">
        <w:rPr>
          <w:rFonts w:ascii="微软雅黑" w:eastAsia="微软雅黑" w:hAnsi="微软雅黑" w:cs="仿宋_GB2312" w:hint="eastAsia"/>
          <w:sz w:val="28"/>
          <w:szCs w:val="28"/>
        </w:rPr>
        <w:t>本批复所称“香港投资企业”“澳门投资企业”是指全部或者部分由香港特别行政区、澳门特别行政区的自然人、企业或者其他组织投资，依法在内地登记设立的企业。</w:t>
      </w:r>
      <w:bookmarkStart w:id="7" w:name="_GoBack"/>
      <w:bookmarkEnd w:id="7"/>
    </w:p>
    <w:sectPr w:rsidR="00DA02E8" w:rsidRPr="00EA17EB" w:rsidSect="00EA17EB">
      <w:footerReference w:type="even" r:id="rId6"/>
      <w:footerReference w:type="default" r:id="rId7"/>
      <w:pgSz w:w="11906" w:h="16838"/>
      <w:pgMar w:top="720" w:right="720" w:bottom="720" w:left="720" w:header="851" w:footer="850"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C3338" w14:textId="77777777" w:rsidR="005B4BDA" w:rsidRDefault="005B4BDA">
      <w:r>
        <w:separator/>
      </w:r>
    </w:p>
  </w:endnote>
  <w:endnote w:type="continuationSeparator" w:id="0">
    <w:p w14:paraId="2118EC62" w14:textId="77777777" w:rsidR="005B4BDA" w:rsidRDefault="005B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方正公文小标宋"/>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DA02E8" w:rsidRDefault="005B4BDA">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DA02E8" w:rsidRDefault="005B4BDA">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B19C" w14:textId="77777777" w:rsidR="005B4BDA" w:rsidRDefault="005B4BDA">
      <w:r>
        <w:separator/>
      </w:r>
    </w:p>
  </w:footnote>
  <w:footnote w:type="continuationSeparator" w:id="0">
    <w:p w14:paraId="0AD301E3" w14:textId="77777777" w:rsidR="005B4BDA" w:rsidRDefault="005B4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B4BDA"/>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A02E8"/>
    <w:rsid w:val="00DB69C0"/>
    <w:rsid w:val="00DB7DE9"/>
    <w:rsid w:val="00DC4D4C"/>
    <w:rsid w:val="00DD7D16"/>
    <w:rsid w:val="00EA17EB"/>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7900D6E"/>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88134A1"/>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4DCE7"/>
  <w15:docId w15:val="{48C725E3-DAFE-40AB-85FB-277699E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D9A963675CB74ABFAD6F58FC940A5767_13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